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33FC" w:rsidR="00181ABF" w:rsidP="00877128" w:rsidRDefault="00FD6516" w14:paraId="0FDEF696" w14:textId="28F40983">
      <w:pPr>
        <w:pStyle w:val="Texto"/>
        <w:spacing w:before="0" w:after="0" w:line="240" w:lineRule="auto"/>
        <w:contextualSpacing/>
        <w:jc w:val="center"/>
        <w:rPr>
          <w:b/>
          <w:bCs/>
          <w:szCs w:val="22"/>
          <w:lang w:val="es-CR"/>
        </w:rPr>
      </w:pPr>
      <w:r w:rsidRPr="000633FC">
        <w:rPr>
          <w:b/>
          <w:bCs/>
          <w:szCs w:val="22"/>
          <w:lang w:val="es-CR"/>
        </w:rPr>
        <w:t>Circular Externa</w:t>
      </w:r>
    </w:p>
    <w:p w:rsidRPr="000633FC" w:rsidR="00FD6516" w:rsidP="00877128" w:rsidRDefault="0080446E" w14:paraId="351DAC59" w14:textId="1E9004F9">
      <w:pPr>
        <w:pStyle w:val="Texto"/>
        <w:spacing w:before="0" w:after="0" w:line="240" w:lineRule="auto"/>
        <w:contextualSpacing/>
        <w:jc w:val="center"/>
        <w:rPr>
          <w:szCs w:val="22"/>
          <w:lang w:val="es-CR"/>
        </w:rPr>
      </w:pPr>
      <w:r>
        <w:rPr>
          <w:szCs w:val="22"/>
          <w:lang w:val="es-CR"/>
        </w:rPr>
        <w:t>30</w:t>
      </w:r>
      <w:r w:rsidRPr="000633FC" w:rsidR="00FD6516">
        <w:rPr>
          <w:szCs w:val="22"/>
          <w:lang w:val="es-CR"/>
        </w:rPr>
        <w:t xml:space="preserve"> de noviembre del 2022</w:t>
      </w:r>
    </w:p>
    <w:sdt>
      <w:sdtPr>
        <w:rPr>
          <w:szCs w:val="22"/>
          <w:lang w:val="es-CR"/>
        </w:rPr>
        <w:alias w:val="Consecutivo"/>
        <w:tag w:val="Consecutivo"/>
        <w:id w:val="2052717023"/>
        <w:placeholder>
          <w:docPart w:val="92099032F12E4850B1513BB36AF2B25F"/>
        </w:placeholder>
        <w:text/>
      </w:sdtPr>
      <w:sdtEndPr/>
      <w:sdtContent>
        <w:p w:rsidRPr="000633FC" w:rsidR="00181ABF" w:rsidP="00877128" w:rsidRDefault="00181ABF" w14:paraId="77A687EB" w14:textId="77777777">
          <w:pPr>
            <w:tabs>
              <w:tab w:val="left" w:pos="2843"/>
            </w:tabs>
            <w:spacing w:line="240" w:lineRule="auto"/>
            <w:contextualSpacing/>
            <w:jc w:val="center"/>
            <w:rPr>
              <w:szCs w:val="22"/>
              <w:lang w:val="es-CR"/>
            </w:rPr>
          </w:pPr>
          <w:r>
            <w:t>SGF-2472-2022</w:t>
          </w:r>
        </w:p>
      </w:sdtContent>
    </w:sdt>
    <w:p w:rsidRPr="000633FC" w:rsidR="00EC2C77" w:rsidP="00877128" w:rsidRDefault="0054408A" w14:paraId="19E25EE9" w14:textId="52A2A2E8">
      <w:pPr>
        <w:tabs>
          <w:tab w:val="left" w:pos="2843"/>
        </w:tabs>
        <w:spacing w:line="240" w:lineRule="auto"/>
        <w:contextualSpacing/>
        <w:jc w:val="center"/>
        <w:rPr>
          <w:b/>
          <w:bCs/>
          <w:szCs w:val="22"/>
          <w:lang w:val="es-CR"/>
        </w:rPr>
      </w:pPr>
      <w:sdt>
        <w:sdtPr>
          <w:rPr>
            <w:szCs w:val="22"/>
            <w:lang w:val="es-CR"/>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633FC" w:rsidR="00FD6516">
            <w:rPr>
              <w:szCs w:val="22"/>
              <w:lang w:val="es-CR"/>
            </w:rPr>
            <w:t>SGF-CONFIDENCIAL</w:t>
          </w:r>
        </w:sdtContent>
      </w:sdt>
    </w:p>
    <w:p w:rsidRPr="000633FC" w:rsidR="000633FC" w:rsidP="00877128" w:rsidRDefault="000633FC" w14:paraId="467B578F" w14:textId="77777777">
      <w:pPr>
        <w:spacing w:line="240" w:lineRule="auto"/>
        <w:ind w:left="34" w:right="86"/>
        <w:contextualSpacing/>
        <w:rPr>
          <w:b/>
          <w:bCs/>
          <w:szCs w:val="22"/>
          <w:lang w:val="es-CR"/>
        </w:rPr>
      </w:pPr>
    </w:p>
    <w:p w:rsidRPr="000633FC" w:rsidR="00FD6516" w:rsidP="00877128" w:rsidRDefault="00FD6516" w14:paraId="2184F6DE" w14:textId="6336C047">
      <w:pPr>
        <w:spacing w:line="240" w:lineRule="auto"/>
        <w:ind w:left="34" w:right="86"/>
        <w:contextualSpacing/>
        <w:rPr>
          <w:b/>
          <w:bCs/>
          <w:szCs w:val="22"/>
          <w:lang w:val="es-CR"/>
        </w:rPr>
      </w:pPr>
      <w:r w:rsidRPr="000633FC">
        <w:rPr>
          <w:b/>
          <w:bCs/>
          <w:szCs w:val="22"/>
          <w:lang w:val="es-CR"/>
        </w:rPr>
        <w:t xml:space="preserve">Dirigida a: </w:t>
      </w:r>
    </w:p>
    <w:p w:rsidRPr="000633FC" w:rsidR="00FD6516" w:rsidP="00877128" w:rsidRDefault="00FD6516" w14:paraId="04FF5647" w14:textId="77777777">
      <w:pPr>
        <w:spacing w:line="240" w:lineRule="auto"/>
        <w:ind w:left="34" w:right="86"/>
        <w:contextualSpacing/>
        <w:rPr>
          <w:b/>
          <w:bCs/>
          <w:szCs w:val="22"/>
          <w:lang w:val="es-CR"/>
        </w:rPr>
      </w:pPr>
    </w:p>
    <w:p w:rsidRPr="000633FC" w:rsidR="00FD6516" w:rsidP="00877128" w:rsidRDefault="00FD6516" w14:paraId="529D9B0A"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Bancos Comerciales del Estado</w:t>
      </w:r>
    </w:p>
    <w:p w:rsidRPr="000633FC" w:rsidR="00FD6516" w:rsidP="00877128" w:rsidRDefault="00FD6516" w14:paraId="03519FC9"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Bancos Creados por Leyes Especiales</w:t>
      </w:r>
    </w:p>
    <w:p w:rsidRPr="000633FC" w:rsidR="00FD6516" w:rsidP="00877128" w:rsidRDefault="00FD6516" w14:paraId="6D6B8AA1"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Bancos Privados</w:t>
      </w:r>
    </w:p>
    <w:p w:rsidRPr="000633FC" w:rsidR="00FD6516" w:rsidP="00877128" w:rsidRDefault="00FD6516" w14:paraId="51B22D90"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Empresas Financieras no Bancarias</w:t>
      </w:r>
    </w:p>
    <w:p w:rsidRPr="000633FC" w:rsidR="00FD6516" w:rsidP="00877128" w:rsidRDefault="00FD6516" w14:paraId="3B8ACD72"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Organizaciones Cooperativas de Ahorro y Crédito</w:t>
      </w:r>
    </w:p>
    <w:p w:rsidRPr="000633FC" w:rsidR="00FD6516" w:rsidP="00877128" w:rsidRDefault="00FD6516" w14:paraId="56F869FA"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Entidades Autorizadas del Sistema Financiera Nacional para la Vivienda</w:t>
      </w:r>
    </w:p>
    <w:p w:rsidRPr="000633FC" w:rsidR="00FD6516" w:rsidP="00877128" w:rsidRDefault="00FD6516" w14:paraId="13067450"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Otras Entidades Financieras</w:t>
      </w:r>
    </w:p>
    <w:p w:rsidRPr="000633FC" w:rsidR="00FD6516" w:rsidP="00877128" w:rsidRDefault="00FD6516" w14:paraId="79A8E864" w14:textId="77777777">
      <w:pPr>
        <w:numPr>
          <w:ilvl w:val="0"/>
          <w:numId w:val="3"/>
        </w:numPr>
        <w:spacing w:line="240" w:lineRule="auto"/>
        <w:ind w:left="567" w:right="86" w:hanging="567"/>
        <w:contextualSpacing/>
        <w:rPr>
          <w:b/>
          <w:bCs/>
          <w:szCs w:val="22"/>
          <w:lang w:val="es-CR" w:eastAsia="es-ES"/>
        </w:rPr>
      </w:pPr>
      <w:r w:rsidRPr="000633FC">
        <w:rPr>
          <w:b/>
          <w:bCs/>
          <w:szCs w:val="22"/>
          <w:lang w:val="es-CR" w:eastAsia="es-ES"/>
        </w:rPr>
        <w:t>Secretaria Técnica de Banca para el Desarrollo</w:t>
      </w:r>
    </w:p>
    <w:p w:rsidRPr="000633FC" w:rsidR="00FD6516" w:rsidP="00877128" w:rsidRDefault="00FD6516" w14:paraId="5FE84188" w14:textId="77777777">
      <w:pPr>
        <w:spacing w:line="240" w:lineRule="auto"/>
        <w:ind w:right="86"/>
        <w:contextualSpacing/>
        <w:rPr>
          <w:b/>
          <w:bCs/>
          <w:szCs w:val="22"/>
          <w:lang w:val="es-CR" w:eastAsia="es-ES"/>
        </w:rPr>
      </w:pPr>
    </w:p>
    <w:p w:rsidRPr="000633FC" w:rsidR="00FD6516" w:rsidP="00877128" w:rsidRDefault="00FD6516" w14:paraId="2C4517E7" w14:textId="3B23A416">
      <w:pPr>
        <w:pStyle w:val="NormalWeb"/>
        <w:spacing w:before="0" w:beforeAutospacing="0" w:after="0" w:afterAutospacing="0"/>
        <w:contextualSpacing/>
        <w:jc w:val="both"/>
        <w:rPr>
          <w:rFonts w:ascii="Cambria" w:hAnsi="Cambria"/>
        </w:rPr>
      </w:pPr>
      <w:r w:rsidRPr="000633FC">
        <w:rPr>
          <w:rFonts w:ascii="Cambria" w:hAnsi="Cambria"/>
          <w:b/>
          <w:bCs/>
        </w:rPr>
        <w:t>Asunto:</w:t>
      </w:r>
      <w:r w:rsidRPr="000633FC">
        <w:rPr>
          <w:rFonts w:ascii="Cambria" w:hAnsi="Cambria"/>
        </w:rPr>
        <w:t xml:space="preserve"> Envío de la Clase de Datos ICL diario y Clase de datos XML Calce de plazos semanal, durante el cierre del fin de año 2022 de la SUGEF.</w:t>
      </w:r>
    </w:p>
    <w:p w:rsidRPr="000633FC" w:rsidR="00FD6516" w:rsidP="00877128" w:rsidRDefault="00FD6516" w14:paraId="71B2B42F" w14:textId="77777777">
      <w:pPr>
        <w:pStyle w:val="NormalWeb"/>
        <w:spacing w:before="0" w:beforeAutospacing="0" w:after="0" w:afterAutospacing="0"/>
        <w:contextualSpacing/>
        <w:jc w:val="both"/>
        <w:rPr>
          <w:rFonts w:ascii="Cambria" w:hAnsi="Cambria"/>
        </w:rPr>
      </w:pPr>
    </w:p>
    <w:p w:rsidRPr="000633FC" w:rsidR="00FD6516" w:rsidP="00877128" w:rsidRDefault="00FD6516" w14:paraId="6FB762E9" w14:textId="77777777">
      <w:pPr>
        <w:pStyle w:val="NormalWeb"/>
        <w:spacing w:before="0" w:beforeAutospacing="0" w:after="0" w:afterAutospacing="0"/>
        <w:contextualSpacing/>
        <w:jc w:val="both"/>
        <w:rPr>
          <w:rFonts w:ascii="Cambria" w:hAnsi="Cambria"/>
        </w:rPr>
      </w:pPr>
      <w:r w:rsidRPr="000633FC">
        <w:rPr>
          <w:rFonts w:ascii="Cambria" w:hAnsi="Cambria"/>
        </w:rPr>
        <w:t>La Superintendencia General de Entidades Financieras,</w:t>
      </w:r>
    </w:p>
    <w:p w:rsidRPr="000633FC" w:rsidR="00FD6516" w:rsidP="00877128" w:rsidRDefault="00FD6516" w14:paraId="695A7DF4" w14:textId="77777777">
      <w:pPr>
        <w:pStyle w:val="NormalWeb"/>
        <w:spacing w:before="0" w:beforeAutospacing="0" w:after="0" w:afterAutospacing="0"/>
        <w:contextualSpacing/>
        <w:jc w:val="both"/>
        <w:rPr>
          <w:rFonts w:ascii="Cambria" w:hAnsi="Cambria"/>
        </w:rPr>
      </w:pPr>
    </w:p>
    <w:p w:rsidRPr="000633FC" w:rsidR="00FD6516" w:rsidP="00877128" w:rsidRDefault="00FD6516" w14:paraId="4F9ED67A" w14:textId="77777777">
      <w:pPr>
        <w:spacing w:line="240" w:lineRule="auto"/>
        <w:ind w:left="33"/>
        <w:contextualSpacing/>
        <w:rPr>
          <w:szCs w:val="22"/>
          <w:u w:val="single"/>
          <w:lang w:val="es-CR"/>
        </w:rPr>
      </w:pPr>
      <w:r w:rsidRPr="000633FC">
        <w:rPr>
          <w:szCs w:val="22"/>
          <w:u w:val="single"/>
          <w:lang w:val="es-CR"/>
        </w:rPr>
        <w:t>Considerando:</w:t>
      </w:r>
    </w:p>
    <w:p w:rsidRPr="000633FC" w:rsidR="00FD6516" w:rsidP="00877128" w:rsidRDefault="00FD6516" w14:paraId="1B96E22F" w14:textId="77777777">
      <w:pPr>
        <w:spacing w:line="240" w:lineRule="auto"/>
        <w:ind w:left="33"/>
        <w:contextualSpacing/>
        <w:rPr>
          <w:szCs w:val="22"/>
          <w:lang w:val="es-CR"/>
        </w:rPr>
      </w:pPr>
    </w:p>
    <w:p w:rsidRPr="000633FC" w:rsidR="00FD6516" w:rsidP="00877128" w:rsidRDefault="00FD6516" w14:paraId="066FF314" w14:textId="77777777">
      <w:pPr>
        <w:pStyle w:val="Prrafodelista"/>
        <w:numPr>
          <w:ilvl w:val="0"/>
          <w:numId w:val="4"/>
        </w:numPr>
        <w:spacing w:after="0" w:line="240" w:lineRule="auto"/>
        <w:jc w:val="both"/>
        <w:rPr>
          <w:rFonts w:ascii="Cambria" w:hAnsi="Cambria"/>
        </w:rPr>
      </w:pPr>
      <w:r w:rsidRPr="000633FC">
        <w:rPr>
          <w:rFonts w:ascii="Cambria" w:hAnsi="Cambria"/>
        </w:rPr>
        <w:t>Que la Ley Orgánica del BCCR, artículos 131, establece como parte de las funciones de la Superintendencia, proponer las normas sobre el contenido, la forma y la periodicidad con que las entidades deben proporcionar a la Superintendencia, y cuando corresponda al público, información individual y consolidada sobre su situación jurídica, económica, financiera, de gobierno corporativo y de administración de riesgos, entre otros, para cumplir la supervisión que debe realizar la Superintendencia.</w:t>
      </w:r>
    </w:p>
    <w:p w:rsidRPr="000633FC" w:rsidR="00FD6516" w:rsidP="00877128" w:rsidRDefault="00FD6516" w14:paraId="0FCCFD1E" w14:textId="77777777">
      <w:pPr>
        <w:spacing w:line="240" w:lineRule="auto"/>
        <w:contextualSpacing/>
        <w:rPr>
          <w:szCs w:val="22"/>
          <w:lang w:val="es-CR"/>
        </w:rPr>
      </w:pPr>
    </w:p>
    <w:p w:rsidRPr="000633FC" w:rsidR="00FD6516" w:rsidP="00877128" w:rsidRDefault="00FD6516" w14:paraId="461719E0" w14:textId="77777777">
      <w:pPr>
        <w:pStyle w:val="Prrafodelista"/>
        <w:numPr>
          <w:ilvl w:val="0"/>
          <w:numId w:val="4"/>
        </w:numPr>
        <w:spacing w:after="0" w:line="240" w:lineRule="auto"/>
        <w:jc w:val="both"/>
        <w:rPr>
          <w:rFonts w:ascii="Cambria" w:hAnsi="Cambria"/>
        </w:rPr>
      </w:pPr>
      <w:r w:rsidRPr="000633FC">
        <w:rPr>
          <w:rFonts w:ascii="Cambria" w:hAnsi="Cambria"/>
        </w:rPr>
        <w:t>Que la información que la Superintendencia General de Entidades Financieras solicita a las entidades fiscalizadas, tiene como propósito alimentar el sistema de información de la SUGEF para el apoyo a la supervisión y fiscalización del Sistema Financiero de Costa Rica.  Los sistemas de recepción de información se mantienen habilitados en forma permanente 24 horas al día los 7 días de la semana.</w:t>
      </w:r>
    </w:p>
    <w:p w:rsidRPr="000633FC" w:rsidR="00FD6516" w:rsidP="00877128" w:rsidRDefault="00FD6516" w14:paraId="7F488621" w14:textId="77777777">
      <w:pPr>
        <w:spacing w:line="240" w:lineRule="auto"/>
        <w:contextualSpacing/>
        <w:rPr>
          <w:szCs w:val="22"/>
          <w:lang w:val="es-CR"/>
        </w:rPr>
      </w:pPr>
    </w:p>
    <w:p w:rsidRPr="000633FC" w:rsidR="00FD6516" w:rsidP="00877128" w:rsidRDefault="00FD6516" w14:paraId="1C4EA570" w14:textId="403490A2">
      <w:pPr>
        <w:pStyle w:val="Prrafodelista"/>
        <w:numPr>
          <w:ilvl w:val="0"/>
          <w:numId w:val="4"/>
        </w:numPr>
        <w:spacing w:after="0" w:line="240" w:lineRule="auto"/>
        <w:jc w:val="both"/>
        <w:rPr>
          <w:rFonts w:ascii="Cambria" w:hAnsi="Cambria"/>
        </w:rPr>
      </w:pPr>
      <w:r w:rsidRPr="000633FC">
        <w:rPr>
          <w:rFonts w:ascii="Cambria" w:hAnsi="Cambria"/>
        </w:rPr>
        <w:lastRenderedPageBreak/>
        <w:t xml:space="preserve">En virtud del comunicado publicado en el sitio web </w:t>
      </w:r>
      <w:hyperlink w:history="1" r:id="rId12">
        <w:r w:rsidRPr="000633FC">
          <w:rPr>
            <w:rStyle w:val="Hipervnculo"/>
            <w:rFonts w:ascii="Cambria" w:hAnsi="Cambria"/>
            <w:color w:val="4472C4" w:themeColor="accent1"/>
          </w:rPr>
          <w:t>www.sugef.fi.cr</w:t>
        </w:r>
      </w:hyperlink>
      <w:r w:rsidRPr="000633FC">
        <w:rPr>
          <w:rFonts w:ascii="Cambria" w:hAnsi="Cambria"/>
        </w:rPr>
        <w:t xml:space="preserve"> y Circular Externa SGF-2223-2022 del 03 de noviembre del 2022, se informó que las oficinas de esta Superintendencia permanecerán cerradas al público entre el 26 al 30 de diciembre del 2022, ambos días incluidos, retornando a las labores en el horario habitual a partir del lunes 02 de enero de 2023.</w:t>
      </w:r>
    </w:p>
    <w:p w:rsidRPr="000633FC" w:rsidR="00FD6516" w:rsidP="00877128" w:rsidRDefault="00FD6516" w14:paraId="102D807F" w14:textId="77777777">
      <w:pPr>
        <w:spacing w:line="240" w:lineRule="auto"/>
        <w:contextualSpacing/>
        <w:rPr>
          <w:szCs w:val="22"/>
          <w:lang w:val="es-CR"/>
        </w:rPr>
      </w:pPr>
    </w:p>
    <w:p w:rsidRPr="000633FC" w:rsidR="00FD6516" w:rsidP="00877128" w:rsidRDefault="00FD6516" w14:paraId="3CA75490" w14:textId="77777777">
      <w:pPr>
        <w:pStyle w:val="Prrafodelista"/>
        <w:numPr>
          <w:ilvl w:val="0"/>
          <w:numId w:val="4"/>
        </w:numPr>
        <w:spacing w:after="0" w:line="240" w:lineRule="auto"/>
        <w:jc w:val="both"/>
        <w:rPr>
          <w:rFonts w:ascii="Cambria" w:hAnsi="Cambria"/>
        </w:rPr>
      </w:pPr>
      <w:r w:rsidRPr="000633FC">
        <w:rPr>
          <w:rFonts w:ascii="Cambria" w:hAnsi="Cambria"/>
        </w:rPr>
        <w:t>Mediante carta circular SGF-1044–2020 del 26 de marzo del 2020 esta Superintendencia solicitó el envío de la información del XML del ICL con periodicidad diaria, todo a fin de dar el seguimiento oportuno a la liquidez de los intermediarios; De la misma forma el Manual de Información de SICVECA establece el envío de los calces semanales los viernes de cada semana.</w:t>
      </w:r>
    </w:p>
    <w:p w:rsidRPr="000633FC" w:rsidR="00FD6516" w:rsidP="00877128" w:rsidRDefault="00FD6516" w14:paraId="7A63FCA3" w14:textId="77777777">
      <w:pPr>
        <w:spacing w:line="240" w:lineRule="auto"/>
        <w:rPr>
          <w:szCs w:val="22"/>
        </w:rPr>
      </w:pPr>
    </w:p>
    <w:p w:rsidRPr="000633FC" w:rsidR="00FD6516" w:rsidP="00877128" w:rsidRDefault="00FD6516" w14:paraId="68E001BB" w14:textId="77777777">
      <w:pPr>
        <w:spacing w:line="240" w:lineRule="auto"/>
        <w:contextualSpacing/>
        <w:rPr>
          <w:rFonts w:eastAsiaTheme="minorHAnsi"/>
          <w:szCs w:val="22"/>
          <w:u w:val="single"/>
          <w:lang w:val="es-CR"/>
        </w:rPr>
      </w:pPr>
      <w:r w:rsidRPr="000633FC">
        <w:rPr>
          <w:szCs w:val="22"/>
          <w:u w:val="single"/>
          <w:lang w:val="es-CR"/>
        </w:rPr>
        <w:t>Dispone:</w:t>
      </w:r>
    </w:p>
    <w:p w:rsidRPr="000633FC" w:rsidR="00FD6516" w:rsidP="00877128" w:rsidRDefault="00FD6516" w14:paraId="74AF6156" w14:textId="77777777">
      <w:pPr>
        <w:spacing w:line="240" w:lineRule="auto"/>
        <w:contextualSpacing/>
        <w:rPr>
          <w:szCs w:val="22"/>
          <w:lang w:val="es-CR"/>
        </w:rPr>
      </w:pPr>
    </w:p>
    <w:p w:rsidRPr="000633FC" w:rsidR="00FD6516" w:rsidP="00877128" w:rsidRDefault="00FD6516" w14:paraId="07360A7F" w14:textId="77777777">
      <w:pPr>
        <w:pStyle w:val="Prrafodelista"/>
        <w:spacing w:after="0" w:line="240" w:lineRule="auto"/>
        <w:ind w:left="0"/>
        <w:jc w:val="both"/>
        <w:rPr>
          <w:rFonts w:ascii="Cambria" w:hAnsi="Cambria"/>
          <w:b/>
          <w:bCs/>
        </w:rPr>
      </w:pPr>
      <w:r w:rsidRPr="000633FC">
        <w:rPr>
          <w:rFonts w:ascii="Cambria" w:hAnsi="Cambria"/>
          <w:b/>
          <w:bCs/>
        </w:rPr>
        <w:t>En cuanto al XML de ICL diario:</w:t>
      </w:r>
    </w:p>
    <w:p w:rsidRPr="000633FC" w:rsidR="00FD6516" w:rsidP="00877128" w:rsidRDefault="00FD6516" w14:paraId="3F3D4D21" w14:textId="77777777">
      <w:pPr>
        <w:pStyle w:val="Prrafodelista"/>
        <w:spacing w:after="0" w:line="240" w:lineRule="auto"/>
        <w:ind w:left="0"/>
        <w:jc w:val="both"/>
        <w:rPr>
          <w:rFonts w:ascii="Cambria" w:hAnsi="Cambria"/>
        </w:rPr>
      </w:pPr>
    </w:p>
    <w:p w:rsidRPr="000633FC" w:rsidR="00FD6516" w:rsidP="00877128" w:rsidRDefault="00FD6516" w14:paraId="2DC4BE29" w14:textId="77777777">
      <w:pPr>
        <w:pStyle w:val="Prrafodelista"/>
        <w:numPr>
          <w:ilvl w:val="0"/>
          <w:numId w:val="5"/>
        </w:numPr>
        <w:spacing w:after="0" w:line="240" w:lineRule="auto"/>
        <w:jc w:val="both"/>
        <w:rPr>
          <w:rFonts w:ascii="Cambria" w:hAnsi="Cambria"/>
        </w:rPr>
      </w:pPr>
      <w:r w:rsidRPr="000633FC">
        <w:rPr>
          <w:rFonts w:ascii="Cambria" w:hAnsi="Cambria"/>
        </w:rPr>
        <w:t xml:space="preserve">El último envío de información diaria aplicable a esta clase de datos para el año 2022 será la correspondiente a la fecha jueves 22 de diciembre de 2022 que será remitida el viernes 23 de diciembre de 2022 por los medios usuales. </w:t>
      </w:r>
    </w:p>
    <w:p w:rsidRPr="000633FC" w:rsidR="00FD6516" w:rsidP="00877128" w:rsidRDefault="00FD6516" w14:paraId="6FBFF632" w14:textId="77777777">
      <w:pPr>
        <w:spacing w:line="240" w:lineRule="auto"/>
        <w:rPr>
          <w:szCs w:val="22"/>
        </w:rPr>
      </w:pPr>
    </w:p>
    <w:p w:rsidRPr="000633FC" w:rsidR="00FD6516" w:rsidP="00877128" w:rsidRDefault="00FD6516" w14:paraId="3254CB0F" w14:textId="77777777">
      <w:pPr>
        <w:pStyle w:val="Prrafodelista"/>
        <w:numPr>
          <w:ilvl w:val="0"/>
          <w:numId w:val="5"/>
        </w:numPr>
        <w:spacing w:after="0" w:line="240" w:lineRule="auto"/>
        <w:jc w:val="both"/>
        <w:rPr>
          <w:rFonts w:ascii="Cambria" w:hAnsi="Cambria" w:eastAsia="Times New Roman"/>
        </w:rPr>
      </w:pPr>
      <w:r w:rsidRPr="000633FC">
        <w:rPr>
          <w:rFonts w:ascii="Cambria" w:hAnsi="Cambria"/>
        </w:rPr>
        <w:t>Para el lunes 2 de enero de 2023, se requiere el envío de información relativo al último día hábil que laboró la entidad financiera, durante la semana comprendida entre el lunes 26 y el viernes 30 de diciembre de 2022.</w:t>
      </w:r>
    </w:p>
    <w:p w:rsidRPr="000633FC" w:rsidR="00FD6516" w:rsidP="00877128" w:rsidRDefault="00FD6516" w14:paraId="79FED1B1" w14:textId="77777777">
      <w:pPr>
        <w:spacing w:line="240" w:lineRule="auto"/>
        <w:rPr>
          <w:szCs w:val="22"/>
        </w:rPr>
      </w:pPr>
    </w:p>
    <w:p w:rsidRPr="000633FC" w:rsidR="00FD6516" w:rsidP="00877128" w:rsidRDefault="00FD6516" w14:paraId="3FBF6BF0" w14:textId="77777777">
      <w:pPr>
        <w:pStyle w:val="Prrafodelista"/>
        <w:numPr>
          <w:ilvl w:val="0"/>
          <w:numId w:val="5"/>
        </w:numPr>
        <w:spacing w:after="0" w:line="240" w:lineRule="auto"/>
        <w:jc w:val="both"/>
        <w:rPr>
          <w:rFonts w:ascii="Cambria" w:hAnsi="Cambria" w:eastAsia="Times New Roman"/>
        </w:rPr>
      </w:pPr>
      <w:r w:rsidRPr="000633FC">
        <w:rPr>
          <w:rFonts w:ascii="Cambria" w:hAnsi="Cambria"/>
        </w:rPr>
        <w:t>El martes 3 de enero de 2023 se debe enviar la información relativa al lunes 2 de enero de 2023 y así de manera sucesiva y secuencial como hasta ahora se ha realizado diariamente.</w:t>
      </w:r>
    </w:p>
    <w:p w:rsidRPr="000633FC" w:rsidR="00FD6516" w:rsidP="00877128" w:rsidRDefault="00FD6516" w14:paraId="2D9C9AC0" w14:textId="77777777">
      <w:pPr>
        <w:spacing w:line="240" w:lineRule="auto"/>
        <w:rPr>
          <w:szCs w:val="22"/>
        </w:rPr>
      </w:pPr>
    </w:p>
    <w:p w:rsidRPr="000633FC" w:rsidR="00FD6516" w:rsidP="00877128" w:rsidRDefault="00FD6516" w14:paraId="6BE972F1" w14:textId="77777777">
      <w:pPr>
        <w:pStyle w:val="Prrafodelista"/>
        <w:numPr>
          <w:ilvl w:val="0"/>
          <w:numId w:val="5"/>
        </w:numPr>
        <w:spacing w:after="0" w:line="240" w:lineRule="auto"/>
        <w:jc w:val="both"/>
        <w:rPr>
          <w:rFonts w:ascii="Cambria" w:hAnsi="Cambria" w:eastAsia="Times New Roman"/>
        </w:rPr>
      </w:pPr>
      <w:r w:rsidRPr="000633FC">
        <w:rPr>
          <w:rFonts w:ascii="Cambria" w:hAnsi="Cambria"/>
        </w:rPr>
        <w:t>Para la información XML de ICL diarios, de los días hábiles (según entidad) del 26 al 30 de diciembre del 2022 que no fue remitida, podrán hacer llegar los XML de esos días a esta Superintendencia a más tardar el viernes 6 de enero de 2023. Considerar para estos envíos de XML la forma secuencial acostumbrada y no envíos simultáneos.</w:t>
      </w:r>
    </w:p>
    <w:p w:rsidRPr="000633FC" w:rsidR="00FD6516" w:rsidP="00877128" w:rsidRDefault="00FD6516" w14:paraId="75EB746B" w14:textId="77777777">
      <w:pPr>
        <w:spacing w:line="240" w:lineRule="auto"/>
        <w:contextualSpacing/>
        <w:rPr>
          <w:szCs w:val="22"/>
          <w:lang w:val="es-CR"/>
        </w:rPr>
      </w:pPr>
    </w:p>
    <w:p w:rsidRPr="000633FC" w:rsidR="00FD6516" w:rsidP="00877128" w:rsidRDefault="00FD6516" w14:paraId="64DE2A39" w14:textId="77777777">
      <w:pPr>
        <w:spacing w:line="240" w:lineRule="auto"/>
        <w:ind w:left="360"/>
        <w:contextualSpacing/>
        <w:rPr>
          <w:b/>
          <w:bCs/>
          <w:szCs w:val="22"/>
          <w:lang w:val="es-CR"/>
        </w:rPr>
      </w:pPr>
      <w:r w:rsidRPr="000633FC">
        <w:rPr>
          <w:b/>
          <w:bCs/>
          <w:szCs w:val="22"/>
          <w:lang w:val="es-CR"/>
        </w:rPr>
        <w:t>En cuanto al XML de calce de plazos semanal:</w:t>
      </w:r>
    </w:p>
    <w:p w:rsidRPr="000633FC" w:rsidR="00FD6516" w:rsidP="00877128" w:rsidRDefault="00FD6516" w14:paraId="3A06C890" w14:textId="77777777">
      <w:pPr>
        <w:spacing w:line="240" w:lineRule="auto"/>
        <w:contextualSpacing/>
        <w:rPr>
          <w:szCs w:val="22"/>
          <w:lang w:val="es-CR"/>
        </w:rPr>
      </w:pPr>
    </w:p>
    <w:p w:rsidRPr="000633FC" w:rsidR="00FD6516" w:rsidP="00877128" w:rsidRDefault="00FD6516" w14:paraId="31491FD2" w14:textId="77777777">
      <w:pPr>
        <w:pStyle w:val="Prrafodelista"/>
        <w:numPr>
          <w:ilvl w:val="0"/>
          <w:numId w:val="5"/>
        </w:numPr>
        <w:spacing w:after="0" w:line="240" w:lineRule="auto"/>
        <w:jc w:val="both"/>
        <w:rPr>
          <w:rFonts w:ascii="Cambria" w:hAnsi="Cambria"/>
        </w:rPr>
      </w:pPr>
      <w:r w:rsidRPr="000633FC">
        <w:rPr>
          <w:rFonts w:ascii="Cambria" w:hAnsi="Cambria"/>
        </w:rPr>
        <w:lastRenderedPageBreak/>
        <w:t>En el caso de la clase de datos XML Calce de plazos semanales podrán enviar los paquetes de información de las semanas correspondientes al corte de 23 y 30 de diciembre de 2022, durante la semana que concluye el 6 de enero de 2023.</w:t>
      </w:r>
    </w:p>
    <w:p w:rsidRPr="000633FC" w:rsidR="00FD6516" w:rsidP="00877128" w:rsidRDefault="00FD6516" w14:paraId="5D567728" w14:textId="77777777">
      <w:pPr>
        <w:spacing w:line="240" w:lineRule="auto"/>
        <w:rPr>
          <w:szCs w:val="22"/>
        </w:rPr>
      </w:pPr>
    </w:p>
    <w:p w:rsidRPr="000633FC" w:rsidR="00FD6516" w:rsidP="00877128" w:rsidRDefault="00FD6516" w14:paraId="59261864" w14:textId="77777777">
      <w:pPr>
        <w:pStyle w:val="Prrafodelista"/>
        <w:numPr>
          <w:ilvl w:val="0"/>
          <w:numId w:val="5"/>
        </w:numPr>
        <w:spacing w:after="0" w:line="240" w:lineRule="auto"/>
        <w:jc w:val="both"/>
        <w:rPr>
          <w:rFonts w:ascii="Cambria" w:hAnsi="Cambria" w:eastAsia="Times New Roman"/>
        </w:rPr>
      </w:pPr>
      <w:r w:rsidRPr="000633FC">
        <w:rPr>
          <w:rFonts w:ascii="Cambria" w:hAnsi="Cambria"/>
        </w:rPr>
        <w:t xml:space="preserve">En caso de consultas asociadas con aspectos técnicos con la clase de datos ICL deben ser remitidos al correo electrónico </w:t>
      </w:r>
      <w:hyperlink w:history="1" r:id="rId13">
        <w:r w:rsidRPr="000633FC">
          <w:rPr>
            <w:rStyle w:val="Hipervnculo"/>
            <w:rFonts w:ascii="Cambria" w:hAnsi="Cambria"/>
            <w:b/>
            <w:bCs/>
            <w:color w:val="4472C4" w:themeColor="accent1"/>
          </w:rPr>
          <w:t>consultasICL@sugef.fi.cr</w:t>
        </w:r>
      </w:hyperlink>
      <w:r w:rsidRPr="000633FC">
        <w:rPr>
          <w:rFonts w:ascii="Cambria" w:hAnsi="Cambria"/>
        </w:rPr>
        <w:t xml:space="preserve"> , y si la consulta es relativa al calce de plazos semanal, enviar al correo electrónico </w:t>
      </w:r>
      <w:hyperlink w:history="1" r:id="rId14">
        <w:r w:rsidRPr="000633FC">
          <w:rPr>
            <w:rStyle w:val="Hipervnculo"/>
            <w:rFonts w:ascii="Cambria" w:hAnsi="Cambria"/>
            <w:b/>
            <w:bCs/>
            <w:color w:val="4472C4" w:themeColor="accent1"/>
          </w:rPr>
          <w:t>ConsultasCalcePlazosSemanal@sugef.fi.cr</w:t>
        </w:r>
      </w:hyperlink>
    </w:p>
    <w:p w:rsidRPr="000633FC" w:rsidR="00FD6516" w:rsidP="00877128" w:rsidRDefault="00FD6516" w14:paraId="25828C85" w14:textId="77777777">
      <w:pPr>
        <w:pStyle w:val="Texto"/>
        <w:spacing w:before="0" w:after="0" w:line="240" w:lineRule="auto"/>
        <w:contextualSpacing/>
        <w:rPr>
          <w:szCs w:val="22"/>
          <w:lang w:val="es-CR"/>
        </w:rPr>
      </w:pPr>
    </w:p>
    <w:p w:rsidRPr="000633FC" w:rsidR="00FD6516" w:rsidP="00877128" w:rsidRDefault="00FD6516" w14:paraId="1C559C24" w14:textId="3AC9A4A9">
      <w:pPr>
        <w:pStyle w:val="Texto"/>
        <w:spacing w:before="0" w:after="0" w:line="240" w:lineRule="auto"/>
        <w:contextualSpacing/>
        <w:rPr>
          <w:szCs w:val="22"/>
          <w:lang w:val="es-CR"/>
        </w:rPr>
      </w:pPr>
      <w:r w:rsidRPr="000633FC">
        <w:rPr>
          <w:noProof/>
          <w:szCs w:val="22"/>
          <w:lang w:val="es-CR" w:eastAsia="es-CR"/>
        </w:rPr>
        <w:drawing>
          <wp:anchor distT="0" distB="0" distL="114300" distR="114300" simplePos="0" relativeHeight="251661312" behindDoc="1" locked="0" layoutInCell="1" allowOverlap="1" wp14:editId="0E342B31" wp14:anchorId="375A80B5">
            <wp:simplePos x="0" y="0"/>
            <wp:positionH relativeFrom="column">
              <wp:posOffset>-163830</wp:posOffset>
            </wp:positionH>
            <wp:positionV relativeFrom="paragraph">
              <wp:posOffset>203835</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0633FC">
        <w:rPr>
          <w:szCs w:val="22"/>
          <w:lang w:val="es-CR"/>
        </w:rPr>
        <w:t>Atentamente,</w:t>
      </w:r>
    </w:p>
    <w:p w:rsidRPr="000633FC" w:rsidR="00FD6516" w:rsidP="00877128" w:rsidRDefault="00FD6516" w14:paraId="1B53D20B" w14:textId="6ABF5B74">
      <w:pPr>
        <w:spacing w:line="240" w:lineRule="auto"/>
        <w:contextualSpacing/>
        <w:rPr>
          <w:szCs w:val="22"/>
          <w:lang w:val="es-CR"/>
        </w:rPr>
      </w:pPr>
    </w:p>
    <w:p w:rsidRPr="000633FC" w:rsidR="00FD6516" w:rsidP="00877128" w:rsidRDefault="00FD6516" w14:paraId="79ADB5FA" w14:textId="6CECAD4C">
      <w:pPr>
        <w:pStyle w:val="Negrita"/>
        <w:spacing w:line="240" w:lineRule="auto"/>
        <w:contextualSpacing/>
        <w:jc w:val="left"/>
        <w:rPr>
          <w:b w:val="0"/>
          <w:szCs w:val="22"/>
          <w:lang w:val="es-CR"/>
        </w:rPr>
      </w:pPr>
    </w:p>
    <w:p w:rsidRPr="000633FC" w:rsidR="00FD6516" w:rsidP="00877128" w:rsidRDefault="0054408A" w14:paraId="182B2AB0" w14:textId="66740CCB">
      <w:pPr>
        <w:pStyle w:val="Negrita"/>
        <w:spacing w:line="240" w:lineRule="auto"/>
        <w:contextualSpacing/>
        <w:jc w:val="left"/>
        <w:rPr>
          <w:b w:val="0"/>
          <w:szCs w:val="22"/>
          <w:lang w:val="es-CR"/>
        </w:rPr>
      </w:pPr>
      <w:r>
        <w:rPr>
          <w:b w:val="0"/>
          <w:szCs w:val="22"/>
          <w:lang w:val="es-CR"/>
        </w:rPr>
        <w:t>José Armando Fallas Martínez</w:t>
      </w:r>
    </w:p>
    <w:p w:rsidRPr="000633FC" w:rsidR="00FD6516" w:rsidP="00877128" w:rsidRDefault="0054408A" w14:paraId="4B1166F2" w14:textId="78261679">
      <w:pPr>
        <w:pStyle w:val="Negrita"/>
        <w:spacing w:line="240" w:lineRule="auto"/>
        <w:contextualSpacing/>
        <w:jc w:val="left"/>
        <w:rPr>
          <w:szCs w:val="22"/>
          <w:lang w:val="es-CR" w:eastAsia="es-CR"/>
        </w:rPr>
      </w:pPr>
      <w:r>
        <w:rPr>
          <w:szCs w:val="22"/>
          <w:lang w:val="es-CR"/>
        </w:rPr>
        <w:t>I</w:t>
      </w:r>
      <w:r w:rsidRPr="000633FC" w:rsidR="00FD6516">
        <w:rPr>
          <w:szCs w:val="22"/>
          <w:lang w:val="es-CR"/>
        </w:rPr>
        <w:t xml:space="preserve">ntendente General </w:t>
      </w:r>
      <w:r w:rsidRPr="000633FC" w:rsidR="00FD6516">
        <w:rPr>
          <w:szCs w:val="22"/>
          <w:lang w:val="es-CR" w:eastAsia="es-CR"/>
        </w:rPr>
        <w:t xml:space="preserve"> </w:t>
      </w:r>
    </w:p>
    <w:p w:rsidRPr="000633FC" w:rsidR="00FD6516" w:rsidP="00877128" w:rsidRDefault="00FD6516" w14:paraId="75A736EA" w14:textId="07DCC04B">
      <w:pPr>
        <w:pStyle w:val="Negrita"/>
        <w:spacing w:line="240" w:lineRule="auto"/>
        <w:contextualSpacing/>
        <w:rPr>
          <w:szCs w:val="22"/>
          <w:lang w:val="es-CR"/>
        </w:rPr>
      </w:pPr>
    </w:p>
    <w:p w:rsidRPr="000633FC" w:rsidR="00FD6516" w:rsidP="00877128" w:rsidRDefault="00FD6516" w14:paraId="2DACCC7A" w14:textId="50B40B52">
      <w:pPr>
        <w:pStyle w:val="CC"/>
        <w:spacing w:line="240" w:lineRule="auto"/>
        <w:contextualSpacing/>
        <w:rPr>
          <w:b/>
          <w:bCs/>
          <w:sz w:val="22"/>
          <w:szCs w:val="22"/>
          <w:lang w:val="es-CR"/>
        </w:rPr>
      </w:pPr>
      <w:r w:rsidRPr="000633FC">
        <w:rPr>
          <w:b/>
          <w:bCs/>
          <w:sz w:val="22"/>
          <w:szCs w:val="22"/>
          <w:lang w:val="es-CR"/>
        </w:rPr>
        <w:t>JSC/EAMS/PSD/gvl*</w:t>
      </w:r>
    </w:p>
    <w:p w:rsidRPr="000633FC" w:rsidR="00EC2C77" w:rsidP="00877128" w:rsidRDefault="00EC2C77" w14:paraId="26232301" w14:textId="2D02AB84">
      <w:pPr>
        <w:pStyle w:val="CC"/>
        <w:spacing w:line="240" w:lineRule="auto"/>
        <w:contextualSpacing/>
        <w:rPr>
          <w:b/>
          <w:bCs/>
          <w:sz w:val="22"/>
          <w:szCs w:val="22"/>
          <w:lang w:val="es-CR"/>
        </w:rPr>
      </w:pPr>
    </w:p>
    <w:p w:rsidRPr="000633FC" w:rsidR="00EC2C77" w:rsidP="00877128" w:rsidRDefault="00877128" w14:paraId="76CB719A" w14:textId="468A80F4">
      <w:pPr>
        <w:spacing w:line="240" w:lineRule="auto"/>
        <w:rPr>
          <w:szCs w:val="22"/>
          <w:lang w:val="es-CR"/>
        </w:rPr>
      </w:pPr>
      <w:r w:rsidRPr="000633FC">
        <w:rPr>
          <w:szCs w:val="22"/>
          <w:lang w:val="es-CR"/>
        </w:rPr>
        <w:t>c</w:t>
      </w:r>
      <w:r w:rsidRPr="000633FC" w:rsidR="00EC2C77">
        <w:rPr>
          <w:szCs w:val="22"/>
          <w:lang w:val="es-CR"/>
        </w:rPr>
        <w:t>.</w:t>
      </w:r>
      <w:r w:rsidRPr="000633FC" w:rsidR="00EC2C77">
        <w:rPr>
          <w:szCs w:val="22"/>
          <w:lang w:val="es-CR"/>
        </w:rPr>
        <w:tab/>
        <w:t xml:space="preserve">Miguel A. Aguiar Bermúdez, Director Ejecutivo </w:t>
      </w:r>
    </w:p>
    <w:p w:rsidRPr="000633FC" w:rsidR="00EC2C77" w:rsidP="00877128" w:rsidRDefault="00EC2C77" w14:paraId="75D2244B" w14:textId="77777777">
      <w:pPr>
        <w:spacing w:line="240" w:lineRule="auto"/>
        <w:ind w:firstLine="708"/>
        <w:rPr>
          <w:szCs w:val="22"/>
          <w:lang w:val="es-CR"/>
        </w:rPr>
      </w:pPr>
      <w:r w:rsidRPr="000633FC">
        <w:rPr>
          <w:szCs w:val="22"/>
          <w:lang w:val="es-CR"/>
        </w:rPr>
        <w:t>Secretaría Técnica SBD</w:t>
      </w:r>
    </w:p>
    <w:p w:rsidRPr="000633FC" w:rsidR="00EC2C77" w:rsidP="00877128" w:rsidRDefault="00EC2C77" w14:paraId="19C73B1F" w14:textId="77777777">
      <w:pPr>
        <w:spacing w:line="240" w:lineRule="auto"/>
        <w:ind w:firstLine="708"/>
        <w:rPr>
          <w:rStyle w:val="Hipervnculo"/>
          <w:bCs/>
          <w:szCs w:val="22"/>
          <w:lang w:val="es-CR"/>
        </w:rPr>
      </w:pPr>
      <w:r w:rsidRPr="000633FC">
        <w:rPr>
          <w:b/>
          <w:bCs/>
          <w:szCs w:val="22"/>
          <w:lang w:val="es-CR"/>
        </w:rPr>
        <w:t>Correo electrónico</w:t>
      </w:r>
      <w:r w:rsidRPr="000633FC">
        <w:rPr>
          <w:szCs w:val="22"/>
          <w:lang w:val="es-CR"/>
        </w:rPr>
        <w:t>:</w:t>
      </w:r>
      <w:r w:rsidRPr="000633FC">
        <w:rPr>
          <w:szCs w:val="22"/>
          <w:lang w:val="es-CR"/>
        </w:rPr>
        <w:tab/>
      </w:r>
      <w:r w:rsidRPr="000633FC">
        <w:rPr>
          <w:szCs w:val="22"/>
          <w:lang w:val="es-CR"/>
        </w:rPr>
        <w:tab/>
      </w:r>
      <w:hyperlink w:history="1" r:id="rId16">
        <w:r w:rsidRPr="000633FC">
          <w:rPr>
            <w:rStyle w:val="Hipervnculo"/>
            <w:bCs/>
            <w:szCs w:val="22"/>
            <w:lang w:val="es-CR"/>
          </w:rPr>
          <w:t>miguel.aguiar@sbdcr.com</w:t>
        </w:r>
      </w:hyperlink>
      <w:r w:rsidRPr="000633FC">
        <w:rPr>
          <w:rStyle w:val="Hipervnculo"/>
          <w:bCs/>
          <w:szCs w:val="22"/>
          <w:lang w:val="es-CR"/>
        </w:rPr>
        <w:t xml:space="preserve">; </w:t>
      </w:r>
    </w:p>
    <w:p w:rsidRPr="000633FC" w:rsidR="00EC2C77" w:rsidP="00877128" w:rsidRDefault="0054408A" w14:paraId="0B33E111" w14:textId="77777777">
      <w:pPr>
        <w:spacing w:line="240" w:lineRule="auto"/>
        <w:ind w:left="2832" w:firstLine="708"/>
        <w:rPr>
          <w:rStyle w:val="Hipervnculo"/>
          <w:bCs/>
          <w:szCs w:val="22"/>
          <w:lang w:val="es-CR"/>
        </w:rPr>
      </w:pPr>
      <w:hyperlink w:history="1" r:id="rId17">
        <w:r w:rsidRPr="000633FC" w:rsidR="00EC2C77">
          <w:rPr>
            <w:rStyle w:val="Hipervnculo"/>
            <w:bCs/>
            <w:szCs w:val="22"/>
            <w:lang w:val="es-CR"/>
          </w:rPr>
          <w:t>info@sbdcr.com</w:t>
        </w:r>
      </w:hyperlink>
      <w:r w:rsidRPr="000633FC" w:rsidR="00EC2C77">
        <w:rPr>
          <w:rStyle w:val="Hipervnculo"/>
          <w:bCs/>
          <w:szCs w:val="22"/>
          <w:lang w:val="es-CR"/>
        </w:rPr>
        <w:t>;</w:t>
      </w:r>
    </w:p>
    <w:p w:rsidRPr="000633FC" w:rsidR="00EC2C77" w:rsidP="00877128" w:rsidRDefault="0054408A" w14:paraId="604E039E" w14:textId="77777777">
      <w:pPr>
        <w:spacing w:line="240" w:lineRule="auto"/>
        <w:ind w:left="2832" w:firstLine="708"/>
        <w:rPr>
          <w:szCs w:val="22"/>
          <w:lang w:val="es-CR"/>
        </w:rPr>
      </w:pPr>
      <w:hyperlink w:history="1" r:id="rId18">
        <w:r w:rsidRPr="000633FC" w:rsidR="00EC2C77">
          <w:rPr>
            <w:rStyle w:val="Hipervnculo"/>
            <w:bCs/>
            <w:szCs w:val="22"/>
            <w:lang w:val="es-CR"/>
          </w:rPr>
          <w:t>liliana.chacon@sbdcr.com</w:t>
        </w:r>
      </w:hyperlink>
    </w:p>
    <w:p w:rsidRPr="000633FC" w:rsidR="00EC2C77" w:rsidP="00877128" w:rsidRDefault="0054408A" w14:paraId="2BEDB850" w14:textId="77777777">
      <w:pPr>
        <w:pStyle w:val="Default"/>
        <w:ind w:left="2832" w:firstLine="708"/>
        <w:jc w:val="both"/>
        <w:rPr>
          <w:rFonts w:ascii="Cambria" w:hAnsi="Cambria"/>
          <w:bCs/>
          <w:sz w:val="22"/>
          <w:szCs w:val="22"/>
        </w:rPr>
      </w:pPr>
      <w:hyperlink w:history="1" r:id="rId19">
        <w:r w:rsidRPr="000633FC" w:rsidR="00EC2C77">
          <w:rPr>
            <w:rStyle w:val="Hipervnculo"/>
            <w:rFonts w:ascii="Cambria" w:hAnsi="Cambria"/>
            <w:bCs/>
            <w:sz w:val="22"/>
            <w:szCs w:val="22"/>
          </w:rPr>
          <w:t>marlene.villanueva@sbdcr.com</w:t>
        </w:r>
      </w:hyperlink>
      <w:r w:rsidRPr="000633FC" w:rsidR="00EC2C77">
        <w:rPr>
          <w:rFonts w:ascii="Cambria" w:hAnsi="Cambria"/>
          <w:bCs/>
          <w:sz w:val="22"/>
          <w:szCs w:val="22"/>
        </w:rPr>
        <w:t>;</w:t>
      </w:r>
    </w:p>
    <w:p w:rsidRPr="000633FC" w:rsidR="00EC2C77" w:rsidP="00877128" w:rsidRDefault="0054408A" w14:paraId="59C4AED3" w14:textId="77777777">
      <w:pPr>
        <w:pStyle w:val="Default"/>
        <w:ind w:left="2832" w:firstLine="708"/>
        <w:jc w:val="both"/>
        <w:rPr>
          <w:rFonts w:ascii="Cambria" w:hAnsi="Cambria"/>
          <w:bCs/>
          <w:sz w:val="22"/>
          <w:szCs w:val="22"/>
        </w:rPr>
      </w:pPr>
      <w:hyperlink w:history="1" r:id="rId20">
        <w:r w:rsidRPr="000633FC" w:rsidR="00EC2C77">
          <w:rPr>
            <w:rStyle w:val="Hipervnculo"/>
            <w:rFonts w:ascii="Cambria" w:hAnsi="Cambria"/>
            <w:bCs/>
            <w:sz w:val="22"/>
            <w:szCs w:val="22"/>
          </w:rPr>
          <w:t>alexander.araya@sbdcr.com</w:t>
        </w:r>
      </w:hyperlink>
    </w:p>
    <w:sectPr w:rsidRPr="000633FC" w:rsidR="00EC2C77" w:rsidSect="0054408A">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BC9E" w14:textId="77777777" w:rsidR="00814399" w:rsidRPr="00877128" w:rsidRDefault="00814399" w:rsidP="00181ABF">
      <w:pPr>
        <w:spacing w:line="240" w:lineRule="auto"/>
        <w:rPr>
          <w:sz w:val="21"/>
          <w:szCs w:val="21"/>
        </w:rPr>
      </w:pPr>
      <w:r w:rsidRPr="00877128">
        <w:rPr>
          <w:sz w:val="21"/>
          <w:szCs w:val="21"/>
        </w:rPr>
        <w:separator/>
      </w:r>
    </w:p>
  </w:endnote>
  <w:endnote w:type="continuationSeparator" w:id="0">
    <w:p w14:paraId="193DBF17" w14:textId="77777777" w:rsidR="00814399" w:rsidRPr="00877128" w:rsidRDefault="00814399" w:rsidP="00181ABF">
      <w:pPr>
        <w:spacing w:line="240" w:lineRule="auto"/>
        <w:rPr>
          <w:sz w:val="21"/>
          <w:szCs w:val="21"/>
        </w:rPr>
      </w:pPr>
      <w:r w:rsidRPr="0087712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08A" w:rsidRDefault="0054408A" w14:paraId="7DCB09D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24"/>
      <w:gridCol w:w="2924"/>
      <w:gridCol w:w="1529"/>
      <w:gridCol w:w="1461"/>
    </w:tblGrid>
    <w:tr w:rsidRPr="00877128" w:rsidR="00181ABF" w:rsidTr="00123A91" w14:paraId="1F6C924D" w14:textId="77777777">
      <w:tc>
        <w:tcPr>
          <w:tcW w:w="2942" w:type="dxa"/>
        </w:tcPr>
        <w:p w:rsidRPr="00877128" w:rsidR="00181ABF" w:rsidP="00181ABF" w:rsidRDefault="00181ABF" w14:paraId="21244D94" w14:textId="77777777">
          <w:pPr>
            <w:pStyle w:val="Piedepgina"/>
            <w:rPr>
              <w:b/>
              <w:color w:val="7F7F7F" w:themeColor="text1" w:themeTint="80"/>
              <w:sz w:val="15"/>
              <w:szCs w:val="15"/>
            </w:rPr>
          </w:pPr>
          <w:r w:rsidRPr="00877128">
            <w:rPr>
              <w:b/>
              <w:color w:val="7F7F7F" w:themeColor="text1" w:themeTint="80"/>
              <w:sz w:val="15"/>
              <w:szCs w:val="15"/>
            </w:rPr>
            <w:t>Teléfono: (506) 2243-4848</w:t>
          </w:r>
        </w:p>
        <w:p w:rsidRPr="00877128" w:rsidR="00181ABF" w:rsidP="00181ABF" w:rsidRDefault="00181ABF" w14:paraId="08C0FAFD" w14:textId="77777777">
          <w:pPr>
            <w:pStyle w:val="Piedepgina"/>
            <w:rPr>
              <w:b/>
              <w:color w:val="7F7F7F" w:themeColor="text1" w:themeTint="80"/>
              <w:sz w:val="15"/>
              <w:szCs w:val="15"/>
            </w:rPr>
          </w:pPr>
          <w:r w:rsidRPr="00877128">
            <w:rPr>
              <w:b/>
              <w:color w:val="7F7F7F" w:themeColor="text1" w:themeTint="80"/>
              <w:sz w:val="15"/>
              <w:szCs w:val="15"/>
            </w:rPr>
            <w:t>Facsímile: (506) 2243-4849</w:t>
          </w:r>
        </w:p>
        <w:p w:rsidRPr="00877128" w:rsidR="00181ABF" w:rsidP="00181ABF" w:rsidRDefault="00181ABF" w14:paraId="6E6975AD" w14:textId="77777777">
          <w:pPr>
            <w:pStyle w:val="Piedepgina"/>
            <w:rPr>
              <w:b/>
              <w:color w:val="7F7F7F" w:themeColor="text1" w:themeTint="80"/>
              <w:sz w:val="15"/>
              <w:szCs w:val="15"/>
            </w:rPr>
          </w:pPr>
        </w:p>
      </w:tc>
      <w:tc>
        <w:tcPr>
          <w:tcW w:w="2943" w:type="dxa"/>
        </w:tcPr>
        <w:p w:rsidRPr="00877128" w:rsidR="00181ABF" w:rsidP="00181ABF" w:rsidRDefault="00181ABF" w14:paraId="5ED46FC6" w14:textId="77777777">
          <w:pPr>
            <w:pStyle w:val="Piedepgina"/>
            <w:jc w:val="left"/>
            <w:rPr>
              <w:b/>
              <w:color w:val="7F7F7F" w:themeColor="text1" w:themeTint="80"/>
              <w:sz w:val="15"/>
              <w:szCs w:val="15"/>
            </w:rPr>
          </w:pPr>
          <w:r w:rsidRPr="00877128">
            <w:rPr>
              <w:b/>
              <w:color w:val="7F7F7F" w:themeColor="text1" w:themeTint="80"/>
              <w:sz w:val="15"/>
              <w:szCs w:val="15"/>
            </w:rPr>
            <w:t xml:space="preserve">Apartado: 2762-1000 </w:t>
          </w:r>
          <w:r w:rsidRPr="00877128">
            <w:rPr>
              <w:b/>
              <w:color w:val="7F7F7F" w:themeColor="text1" w:themeTint="80"/>
              <w:sz w:val="15"/>
              <w:szCs w:val="15"/>
            </w:rPr>
            <w:br/>
            <w:t>San José, Costa Rica</w:t>
          </w:r>
        </w:p>
      </w:tc>
      <w:tc>
        <w:tcPr>
          <w:tcW w:w="1471" w:type="dxa"/>
        </w:tcPr>
        <w:p w:rsidRPr="00877128" w:rsidR="00181ABF" w:rsidP="00181ABF" w:rsidRDefault="00181ABF" w14:paraId="16D0D793" w14:textId="77777777">
          <w:pPr>
            <w:pStyle w:val="Piedepgina"/>
            <w:rPr>
              <w:b/>
              <w:color w:val="7F7F7F" w:themeColor="text1" w:themeTint="80"/>
              <w:sz w:val="15"/>
              <w:szCs w:val="15"/>
            </w:rPr>
          </w:pPr>
          <w:r w:rsidRPr="00877128">
            <w:rPr>
              <w:b/>
              <w:color w:val="7F7F7F" w:themeColor="text1" w:themeTint="80"/>
              <w:sz w:val="15"/>
              <w:szCs w:val="15"/>
            </w:rPr>
            <w:t>www.sugef.fi.cr</w:t>
          </w:r>
          <w:r w:rsidRPr="00877128">
            <w:rPr>
              <w:b/>
              <w:color w:val="7F7F7F" w:themeColor="text1" w:themeTint="80"/>
              <w:sz w:val="15"/>
              <w:szCs w:val="15"/>
            </w:rPr>
            <w:br/>
            <w:t>sugefcr@sugef.fi.cr</w:t>
          </w:r>
        </w:p>
      </w:tc>
      <w:tc>
        <w:tcPr>
          <w:tcW w:w="1472" w:type="dxa"/>
        </w:tcPr>
        <w:p w:rsidRPr="00877128" w:rsidR="00181ABF" w:rsidP="00181ABF" w:rsidRDefault="00181ABF" w14:paraId="64EAD14E" w14:textId="77777777">
          <w:pPr>
            <w:pStyle w:val="Piedepgina"/>
            <w:jc w:val="right"/>
            <w:rPr>
              <w:b/>
              <w:color w:val="7F7F7F" w:themeColor="text1" w:themeTint="80"/>
              <w:sz w:val="15"/>
              <w:szCs w:val="15"/>
            </w:rPr>
          </w:pPr>
          <w:r w:rsidRPr="00877128">
            <w:rPr>
              <w:b/>
              <w:color w:val="7F7F7F" w:themeColor="text1" w:themeTint="80"/>
              <w:sz w:val="15"/>
              <w:szCs w:val="15"/>
            </w:rPr>
            <w:fldChar w:fldCharType="begin"/>
          </w:r>
          <w:r w:rsidRPr="00877128">
            <w:rPr>
              <w:b/>
              <w:color w:val="7F7F7F" w:themeColor="text1" w:themeTint="80"/>
              <w:sz w:val="15"/>
              <w:szCs w:val="15"/>
            </w:rPr>
            <w:instrText>PAGE   \* MERGEFORMAT</w:instrText>
          </w:r>
          <w:r w:rsidRPr="00877128">
            <w:rPr>
              <w:b/>
              <w:color w:val="7F7F7F" w:themeColor="text1" w:themeTint="80"/>
              <w:sz w:val="15"/>
              <w:szCs w:val="15"/>
            </w:rPr>
            <w:fldChar w:fldCharType="separate"/>
          </w:r>
          <w:r w:rsidRPr="00877128">
            <w:rPr>
              <w:b/>
              <w:noProof/>
              <w:color w:val="7F7F7F" w:themeColor="text1" w:themeTint="80"/>
              <w:sz w:val="15"/>
              <w:szCs w:val="15"/>
            </w:rPr>
            <w:t>1</w:t>
          </w:r>
          <w:r w:rsidRPr="00877128">
            <w:rPr>
              <w:b/>
              <w:color w:val="7F7F7F" w:themeColor="text1" w:themeTint="80"/>
              <w:sz w:val="15"/>
              <w:szCs w:val="15"/>
            </w:rPr>
            <w:fldChar w:fldCharType="end"/>
          </w:r>
        </w:p>
      </w:tc>
    </w:tr>
  </w:tbl>
  <w:p w:rsidRPr="00877128" w:rsidR="00181ABF" w:rsidP="00181ABF" w:rsidRDefault="00181ABF" w14:paraId="23355C35" w14:textId="77777777">
    <w:pPr>
      <w:pStyle w:val="Piedepgina"/>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08A" w:rsidRDefault="0054408A" w14:paraId="2974B7E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31C3" w14:textId="77777777" w:rsidR="00814399" w:rsidRPr="00877128" w:rsidRDefault="00814399" w:rsidP="00181ABF">
      <w:pPr>
        <w:spacing w:line="240" w:lineRule="auto"/>
        <w:rPr>
          <w:sz w:val="21"/>
          <w:szCs w:val="21"/>
        </w:rPr>
      </w:pPr>
      <w:r w:rsidRPr="00877128">
        <w:rPr>
          <w:sz w:val="21"/>
          <w:szCs w:val="21"/>
        </w:rPr>
        <w:separator/>
      </w:r>
    </w:p>
  </w:footnote>
  <w:footnote w:type="continuationSeparator" w:id="0">
    <w:p w14:paraId="0E29EA29" w14:textId="77777777" w:rsidR="00814399" w:rsidRPr="00877128" w:rsidRDefault="00814399" w:rsidP="00181ABF">
      <w:pPr>
        <w:spacing w:line="240" w:lineRule="auto"/>
        <w:rPr>
          <w:sz w:val="21"/>
          <w:szCs w:val="21"/>
        </w:rPr>
      </w:pPr>
      <w:r w:rsidRPr="0087712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08A" w:rsidRDefault="0054408A" w14:paraId="0366855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7128" w:rsidR="00877128" w:rsidP="00877128" w:rsidRDefault="00181ABF" w14:paraId="3A826FDB" w14:textId="7CD8760D">
    <w:pPr>
      <w:pStyle w:val="Encabezado"/>
      <w:jc w:val="center"/>
      <w:rPr>
        <w:sz w:val="21"/>
        <w:szCs w:val="21"/>
      </w:rPr>
    </w:pPr>
    <w:r w:rsidRPr="00877128">
      <w:rPr>
        <w:noProof/>
        <w:sz w:val="21"/>
        <w:szCs w:val="21"/>
        <w:lang w:val="es-CR" w:eastAsia="es-CR"/>
      </w:rPr>
      <w:drawing>
        <wp:inline distT="0" distB="0" distL="0" distR="0" wp14:anchorId="0AD1A28B" wp14:editId="275561C0">
          <wp:extent cx="1473145" cy="69105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08A" w:rsidRDefault="0054408A" w14:paraId="0D05899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59E51A2"/>
    <w:multiLevelType w:val="multilevel"/>
    <w:tmpl w:val="BB08AE10"/>
    <w:lvl w:ilvl="0">
      <w:start w:val="1"/>
      <w:numFmt w:val="decimal"/>
      <w:lvlText w:val="%1."/>
      <w:lvlJc w:val="left"/>
      <w:pPr>
        <w:tabs>
          <w:tab w:val="num" w:pos="720"/>
        </w:tabs>
        <w:ind w:left="720" w:hanging="360"/>
      </w:pPr>
      <w:rPr>
        <w:lang w:val="es-CR"/>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000CC3"/>
    <w:multiLevelType w:val="hybridMultilevel"/>
    <w:tmpl w:val="9F68BECC"/>
    <w:lvl w:ilvl="0" w:tplc="477EFE20">
      <w:start w:val="1"/>
      <w:numFmt w:val="upperRoman"/>
      <w:lvlText w:val="%1."/>
      <w:lvlJc w:val="right"/>
      <w:pPr>
        <w:ind w:left="720" w:hanging="360"/>
      </w:pPr>
      <w:rPr>
        <w:b w:val="0"/>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53E65"/>
    <w:rsid w:val="000633FC"/>
    <w:rsid w:val="000909EB"/>
    <w:rsid w:val="000B393A"/>
    <w:rsid w:val="00181ABF"/>
    <w:rsid w:val="002B1E29"/>
    <w:rsid w:val="003172BE"/>
    <w:rsid w:val="0046392F"/>
    <w:rsid w:val="0054408A"/>
    <w:rsid w:val="00712643"/>
    <w:rsid w:val="0080446E"/>
    <w:rsid w:val="00814399"/>
    <w:rsid w:val="00877128"/>
    <w:rsid w:val="00937EF0"/>
    <w:rsid w:val="00A90EF6"/>
    <w:rsid w:val="00B66582"/>
    <w:rsid w:val="00BF586F"/>
    <w:rsid w:val="00C1191F"/>
    <w:rsid w:val="00CF141B"/>
    <w:rsid w:val="00D2422E"/>
    <w:rsid w:val="00D67CC3"/>
    <w:rsid w:val="00D90222"/>
    <w:rsid w:val="00E42AAC"/>
    <w:rsid w:val="00E77993"/>
    <w:rsid w:val="00EC2C77"/>
    <w:rsid w:val="00FD6516"/>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710B4"/>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semiHidden/>
    <w:unhideWhenUsed/>
    <w:rsid w:val="00FD6516"/>
    <w:rPr>
      <w:color w:val="0563C1"/>
      <w:u w:val="single"/>
    </w:rPr>
  </w:style>
  <w:style w:type="paragraph" w:styleId="NormalWeb">
    <w:name w:val="Normal (Web)"/>
    <w:basedOn w:val="Normal"/>
    <w:uiPriority w:val="99"/>
    <w:semiHidden/>
    <w:unhideWhenUsed/>
    <w:rsid w:val="00FD6516"/>
    <w:pPr>
      <w:spacing w:before="100" w:beforeAutospacing="1" w:after="100" w:afterAutospacing="1" w:line="240" w:lineRule="auto"/>
      <w:jc w:val="left"/>
    </w:pPr>
    <w:rPr>
      <w:rFonts w:ascii="Calibri" w:eastAsiaTheme="minorHAnsi" w:hAnsi="Calibri" w:cs="Calibri"/>
      <w:szCs w:val="22"/>
      <w:lang w:val="es-CR" w:eastAsia="es-CR"/>
    </w:rPr>
  </w:style>
  <w:style w:type="character" w:customStyle="1" w:styleId="PrrafodelistaCar">
    <w:name w:val="Párrafo de lista Car"/>
    <w:aliases w:val="Informe Car,Con viñetas Car,Normal con viñetas Car,3 Car,Use Case List Paragraph Car,Bullet 1 Car"/>
    <w:basedOn w:val="Fuentedeprrafopredeter"/>
    <w:link w:val="Prrafodelista"/>
    <w:uiPriority w:val="34"/>
    <w:locked/>
    <w:rsid w:val="00FD6516"/>
  </w:style>
  <w:style w:type="paragraph" w:styleId="Prrafodelista">
    <w:name w:val="List Paragraph"/>
    <w:aliases w:val="Informe,Con viñetas,Normal con viñetas,3,Use Case List Paragraph,Bullet 1"/>
    <w:basedOn w:val="Normal"/>
    <w:link w:val="PrrafodelistaCar"/>
    <w:uiPriority w:val="34"/>
    <w:qFormat/>
    <w:rsid w:val="00FD6516"/>
    <w:pPr>
      <w:spacing w:after="160" w:line="252" w:lineRule="auto"/>
      <w:ind w:left="720"/>
      <w:contextualSpacing/>
      <w:jc w:val="left"/>
    </w:pPr>
    <w:rPr>
      <w:rFonts w:asciiTheme="minorHAnsi" w:eastAsiaTheme="minorHAnsi" w:hAnsiTheme="minorHAnsi" w:cstheme="minorBidi"/>
      <w:szCs w:val="22"/>
      <w:lang w:val="es-CR"/>
    </w:rPr>
  </w:style>
  <w:style w:type="paragraph" w:customStyle="1" w:styleId="Default">
    <w:name w:val="Default"/>
    <w:rsid w:val="00EC2C77"/>
    <w:pPr>
      <w:autoSpaceDE w:val="0"/>
      <w:autoSpaceDN w:val="0"/>
      <w:adjustRightInd w:val="0"/>
      <w:spacing w:after="0" w:line="240" w:lineRule="auto"/>
    </w:pPr>
    <w:rPr>
      <w:rFonts w:ascii="Arial" w:eastAsia="Calibri" w:hAnsi="Arial" w:cs="Arial"/>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ICL@sugef.fi.cr" TargetMode="External"/><Relationship Id="rId18" Type="http://schemas.openxmlformats.org/officeDocument/2006/relationships/hyperlink" Target="mailto:liliana.chacon@sbdcr.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nam12.safelinks.protection.outlook.com/?url=http%3A%2F%2Fwww.sugef.fi.cr%2F&amp;data=05%7C01%7Cmoralesbo%40sugef.fi.cr%7Cc7c8d0e9a35446bee17b08dacf107c77%7C618d0a4525a646189f808f70a435ee52%7C0%7C0%7C638049966960392000%7CUnknown%7CTWFpbGZsb3d8eyJWIjoiMC4wLjAwMDAiLCJQIjoiV2luMzIiLCJBTiI6Ik1haWwiLCJXVCI6Mn0%3D%7C3000%7C%7C%7C&amp;sdata=KxNBvTx5F%2BiXGTh%2FZi75dxew3OXlY3%2BFuPQeSo70vms%3D&amp;reserved=0" TargetMode="External"/><Relationship Id="rId17" Type="http://schemas.openxmlformats.org/officeDocument/2006/relationships/hyperlink" Target="mailto:info@sbdcr.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iguel.aguiar@sbdcr.com" TargetMode="External"/><Relationship Id="rId20" Type="http://schemas.openxmlformats.org/officeDocument/2006/relationships/hyperlink" Target="mailto:alexander.araya@sbdc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marlene.villanueva@sbdc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CalcePlazosSemanal@sugef.fi.cr"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F825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6Hnm9b5yO5lJ+ZVysnU8qJXJQTIRFFskP0y7k33OQ98=</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wMsPMCdZutYMigvZPIsFS2lH7M2UgmZ63WEw0IzWrNo=</DigestValue>
    </Reference>
  </SignedInfo>
  <SignatureValue>a+Z8oT1XRSlect/2o65VkRUwMTX1+Wu5qhSZ7XCJB6fNcDXo4xySCtcwF1HMW+0YhcC8wXd5aApk
0sSlo/YLQa4nPMdnCRONm+ThgJCWEPXxcOB5GMWTYhnsAkfqB0LxkiiuWwH8Y3lL46abdYNnFy3u
SlwxQvytBqJKP+SV+d22yV9O+P4CdwxB1kzlAepXKbi73At3Nd7mnlxP7rLwC3OiF+ofS6aJeKeH
y5zyvGUXvnPbPACxIcG+njYWUM2h6kL1jr0N4I/nw8gX9KWTFgY2yK5YlQi1HxGqpGvGVIlnFD1a
xmiGDtftiUkgr0zYlO9u0wAbuSZnosBsmSD56Q==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h7N55TPKzx4m+3SOMerIlCs0w+h1TcKZ8buZPLeUS8k=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/iMCFSE7j+0LNC4TWdp8rv3Eu78v+UyYb5kmz/bXge4=</DigestValue>
      </Reference>
      <Reference URI="/word/endnotes.xml?ContentType=application/vnd.openxmlformats-officedocument.wordprocessingml.endnotes+xml">
        <DigestMethod Algorithm="http://www.w3.org/2001/04/xmlenc#sha256"/>
        <DigestValue>F8ieiUb4ZvZnRO9kO1B9/s1CV6rVRvMAPBqDIgHm+OE=</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niKdZbarFihdhqIQFkpGUnV8tmpPINRgjLDJXRYIBKE=</DigestValue>
      </Reference>
      <Reference URI="/word/footer2.xml?ContentType=application/vnd.openxmlformats-officedocument.wordprocessingml.footer+xml">
        <DigestMethod Algorithm="http://www.w3.org/2001/04/xmlenc#sha256"/>
        <DigestValue>R1qzR8BvkBxCaE9sX/wRXQmIoKD7j+s+qEJ5+7q6Gvo=</DigestValue>
      </Reference>
      <Reference URI="/word/footer3.xml?ContentType=application/vnd.openxmlformats-officedocument.wordprocessingml.footer+xml">
        <DigestMethod Algorithm="http://www.w3.org/2001/04/xmlenc#sha256"/>
        <DigestValue>g3/wRsEJekNec1WrcuWNRjmVyDKE5bUY6ndmK3Y+89E=</DigestValue>
      </Reference>
      <Reference URI="/word/footnotes.xml?ContentType=application/vnd.openxmlformats-officedocument.wordprocessingml.footnotes+xml">
        <DigestMethod Algorithm="http://www.w3.org/2001/04/xmlenc#sha256"/>
        <DigestValue>j4+oNmxchfZvg/fBKAo5ozmuChdr7ekKh4CyWTWn1U8=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wsMUo4J4dlGOR2WJNZTO8CXl4qiTFTnidjjRJRr0ayM=</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6d0ogaG9+VKTB0NVofoX9+Cez7yWvNGbEWI13KqTWjg=</DigestValue>
      </Reference>
      <Reference URI="/word/header2.xml?ContentType=application/vnd.openxmlformats-officedocument.wordprocessingml.header+xml">
        <DigestMethod Algorithm="http://www.w3.org/2001/04/xmlenc#sha256"/>
        <DigestValue>ffSTjjBMjgVxf+P6/GWALoZYl8UolejLxKv7a7jUigs=</DigestValue>
      </Reference>
      <Reference URI="/word/header3.xml?ContentType=application/vnd.openxmlformats-officedocument.wordprocessingml.header+xml">
        <DigestMethod Algorithm="http://www.w3.org/2001/04/xmlenc#sha256"/>
        <DigestValue>kFxmwQVjCSR2MEwjuF7AU8U6yFVyzs6aqwF3OfdZs7g=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fstTdIg+GpzMMqOsmne6MJPirkxJzI3Cq+gFb2C2QzQ=</DigestValue>
      </Reference>
      <Reference URI="/word/settings.xml?ContentType=application/vnd.openxmlformats-officedocument.wordprocessingml.settings+xml">
        <DigestMethod Algorithm="http://www.w3.org/2001/04/xmlenc#sha256"/>
        <DigestValue>2w3QRLmw6LjSgpWOqvVL2FpiclIxIBtdMY23JyWGses=</DigestValue>
      </Reference>
      <Reference URI="/word/styles.xml?ContentType=application/vnd.openxmlformats-officedocument.wordprocessingml.styles+xml">
        <DigestMethod Algorithm="http://www.w3.org/2001/04/xmlenc#sha256"/>
        <DigestValue>JBeBbhlynfZcTsYPQwuGxot2XPYo7FMqg6UBDqINn58=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ZALxr26t25BTBoFKkWfR7+MCgBXd8Q66F4sXuot+KzA=</DigestValue>
      </Reference>
    </Manifest>
    <SignatureProperties>
      <SignatureProperty Id="idSignatureTime" Target="#idPackageSignature">
        <mdssi:SignatureTime xmlns:mdssi="http://schemas.openxmlformats.org/package/2006/digital-signature">
          <mdssi:Format>YYYY-MM-DDThh:mm:ssTZD</mdssi:Format>
          <mdssi:Value>2022-11-30T22:24:15Z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2022-11-30T22:24:15Z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Li2KXJ3doaFPhe2K524bvUa81Gm6DVJlYuiVNZvBGECBBHOtb0YDzIwMjIxMTMwMjIyN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3xoK38IZa0SQv4Ksh7PCIKGH4Pw=</xd:ByKey>
                  </xd:ResponderID>
                  <xd:ProducedAt>2022-11-30T22:24:13Z</xd:ProducedAt>
                </xd:OCSPIdentifier>
                <xd:DigestAlgAndValue>
                  <DigestMethod Algorithm="http://www.w3.org/2001/04/xmlenc#sha256"/>
                  <DigestValue>Edw9RIzog4eKBEuBi+Fp1kN4QdKfSID61QiIC+cAcaQ=</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E/EZtaurRFDB3lBRrdACRbP8hLZqCG1ygrvyLXgOYQCBBHOtb8YDzIwMjIxMTMwMjIyN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UserInfo>
        <DisplayName>SALIENTE SICVECA CREDITICIO</DisplayName>
        <AccountId>718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Envio de la Clase de Datos ICL diario y XML Calce de plazos semanal durante el cierre del 2022
Informar a SALIENTE GRUPO DE INTERES, SALIENTE SICVECA CREDITICIO,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2022-11-08T06:00:00+00:00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Envio de la Clase de Datos ICL diario y XML Calce de plazos semanal durante el cierre del 2022</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5A12CFB-B381-4685-96FE-13F4F3309823}"/>
</file>

<file path=customXml/itemProps2.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3.xml><?xml version="1.0" encoding="utf-8"?>
<ds:datastoreItem xmlns:ds="http://schemas.openxmlformats.org/officeDocument/2006/customXml" ds:itemID="{068C5E37-641F-4ADA-A5AD-E52456C0FFAB}">
  <ds:schemaRefs>
    <ds:schemaRef ds:uri="http://purl.org/dc/dcmitype/"/>
    <ds:schemaRef ds:uri="http://schemas.microsoft.com/office/infopath/2007/PartnerControls"/>
    <ds:schemaRef ds:uri="b875e23b-67d9-4b2e-bdec-edacbf90b326"/>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D94B1B8-2F7F-4A1F-8535-F539107B6F0B}"/>
</file>

<file path=customXml/itemProps5.xml><?xml version="1.0" encoding="utf-8"?>
<ds:datastoreItem xmlns:ds="http://schemas.openxmlformats.org/officeDocument/2006/customXml" ds:itemID="{39A64687-13E5-4737-BFEA-29CEA3ABE378}"/>
</file>

<file path=customXml/itemProps6.xml><?xml version="1.0" encoding="utf-8"?>
<ds:datastoreItem xmlns:ds="http://schemas.openxmlformats.org/officeDocument/2006/customXml" ds:itemID="{D36618CA-312F-4C1D-BE55-05A113B43AEE}"/>
</file>

<file path=docProps/app.xml><?xml version="1.0" encoding="utf-8"?>
<Properties xmlns="http://schemas.openxmlformats.org/officeDocument/2006/extended-properties" xmlns:vt="http://schemas.openxmlformats.org/officeDocument/2006/docPropsVTypes">
  <Template>Normal</Template>
  <TotalTime>19</TotalTime>
  <Pages>2</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12</cp:revision>
  <dcterms:created xsi:type="dcterms:W3CDTF">2022-11-29T20:44:00Z</dcterms:created>
  <dcterms:modified xsi:type="dcterms:W3CDTF">2022-11-30T20:19:00Z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130;#Confidencial|d19c5cf3-f0e9-4d18-86d2-7bee4000e1ea</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636200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f1fd9d7f-da86-405a-9476-87cbb240632e,5;e296350a-171a-4531-9415-14f9933ddbf9,8;</vt:lpwstr>
  </property>
</Properties>
</file>